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1B3C" w14:textId="77777777" w:rsidR="00621F0F" w:rsidRDefault="00621F0F" w:rsidP="00EB1864">
      <w:pPr>
        <w:jc w:val="both"/>
      </w:pPr>
    </w:p>
    <w:p w14:paraId="177BD3F0" w14:textId="7765D707" w:rsidR="00F71E31" w:rsidRPr="0003303B" w:rsidRDefault="00F71E31" w:rsidP="00EB1864">
      <w:pPr>
        <w:jc w:val="both"/>
        <w:rPr>
          <w:u w:val="single"/>
        </w:rPr>
      </w:pPr>
      <w:r w:rsidRPr="0003303B">
        <w:rPr>
          <w:u w:val="single"/>
        </w:rPr>
        <w:t>Town of Fort Myers Beach</w:t>
      </w:r>
      <w:r w:rsidRPr="0003303B">
        <w:rPr>
          <w:u w:val="single"/>
        </w:rPr>
        <w:t xml:space="preserve">: </w:t>
      </w:r>
      <w:r w:rsidRPr="0003303B">
        <w:rPr>
          <w:u w:val="single"/>
        </w:rPr>
        <w:t>Flood Panel Discussion</w:t>
      </w:r>
    </w:p>
    <w:p w14:paraId="6DA94F03" w14:textId="7F5C6AD8" w:rsidR="0039438F" w:rsidRPr="0039438F" w:rsidRDefault="0039438F" w:rsidP="00EB1864">
      <w:pPr>
        <w:jc w:val="both"/>
      </w:pPr>
      <w:r w:rsidRPr="0039438F">
        <w:t>The Town of Fort Myers Beach supports and encourages residents to pursue reasonable and effective measures to reduce flood risk and protect their property. In a coastal community, flood mitigation is not optional — it is essential. At the same time, the Town has a legal obligation to enforce the Florida Building Code and life-safety requirements in a consistent and defensible manner.</w:t>
      </w:r>
    </w:p>
    <w:p w14:paraId="1349186F" w14:textId="79E5D16D" w:rsidR="0039438F" w:rsidRDefault="0039438F" w:rsidP="00EB1864">
      <w:pPr>
        <w:jc w:val="both"/>
      </w:pPr>
      <w:r w:rsidRPr="0039438F">
        <w:t>Flood panels that are attached to a structure — as opposed to freestanding temporary flood barriers or deployable flood dams — are classified under the Florida Building Code as structural additions or alterations. Because panels are physically mounted to the building, panels become part of the building envelope and are regulated as such.</w:t>
      </w:r>
      <w:r w:rsidR="001040FA">
        <w:t xml:space="preserve"> [</w:t>
      </w:r>
      <w:r w:rsidR="001040FA" w:rsidRPr="001040FA">
        <w:t>Florida Building Code – Existing Building (FBC-EB) §501.1</w:t>
      </w:r>
      <w:r w:rsidR="001040FA">
        <w:t>]</w:t>
      </w:r>
    </w:p>
    <w:p w14:paraId="6E6BB04A" w14:textId="54C3A0C1" w:rsidR="00053207" w:rsidRPr="00053207" w:rsidRDefault="00053207" w:rsidP="00EB1864">
      <w:pPr>
        <w:jc w:val="both"/>
        <w:rPr>
          <w:b/>
          <w:bCs/>
        </w:rPr>
      </w:pPr>
      <w:r w:rsidRPr="00053207">
        <w:rPr>
          <w:b/>
          <w:bCs/>
        </w:rPr>
        <w:t>National Flood Insurance Program (NFIP)</w:t>
      </w:r>
    </w:p>
    <w:p w14:paraId="345703B7" w14:textId="4D4695F3" w:rsidR="00053207" w:rsidRPr="00053207" w:rsidRDefault="00053207" w:rsidP="00EB1864">
      <w:pPr>
        <w:numPr>
          <w:ilvl w:val="0"/>
          <w:numId w:val="7"/>
        </w:numPr>
        <w:jc w:val="both"/>
      </w:pPr>
      <w:r w:rsidRPr="00053207">
        <w:t>The Town of Fort Myers Beach is a voluntary participant in the NFIP, allowing property owners access to federally backed flood insurance.</w:t>
      </w:r>
    </w:p>
    <w:p w14:paraId="09364EA3" w14:textId="6A208082" w:rsidR="00053207" w:rsidRPr="00053207" w:rsidRDefault="00053207" w:rsidP="00EB1864">
      <w:pPr>
        <w:numPr>
          <w:ilvl w:val="0"/>
          <w:numId w:val="7"/>
        </w:numPr>
        <w:jc w:val="both"/>
      </w:pPr>
      <w:r w:rsidRPr="00053207">
        <w:t>Compliance with NFIP regulations and the Florida Building Code is required to maintain participation and avoid jeopardizing access to flood insurance for all Town property owners.</w:t>
      </w:r>
    </w:p>
    <w:p w14:paraId="03737DD0" w14:textId="77777777" w:rsidR="00053207" w:rsidRPr="00053207" w:rsidRDefault="00053207" w:rsidP="00EB1864">
      <w:pPr>
        <w:numPr>
          <w:ilvl w:val="0"/>
          <w:numId w:val="7"/>
        </w:numPr>
        <w:jc w:val="both"/>
      </w:pPr>
      <w:r w:rsidRPr="00053207">
        <w:t>Both Florida Building Code and NFIP regulations treat residential and non-residential buildings differently, particularly regarding their design in the Special Flood Hazard Area (SFHA).</w:t>
      </w:r>
    </w:p>
    <w:p w14:paraId="394DB676" w14:textId="77777777" w:rsidR="00053207" w:rsidRPr="00053207" w:rsidRDefault="00053207" w:rsidP="00EB1864">
      <w:pPr>
        <w:numPr>
          <w:ilvl w:val="0"/>
          <w:numId w:val="7"/>
        </w:numPr>
        <w:jc w:val="both"/>
      </w:pPr>
      <w:r w:rsidRPr="00053207">
        <w:t>FEMA requires all flood-related building modifications to comply with regulations.</w:t>
      </w:r>
    </w:p>
    <w:p w14:paraId="22A963B9" w14:textId="0124F540" w:rsidR="00053207" w:rsidRPr="00053207" w:rsidRDefault="00053207" w:rsidP="00EB1864">
      <w:pPr>
        <w:numPr>
          <w:ilvl w:val="0"/>
          <w:numId w:val="7"/>
        </w:numPr>
        <w:jc w:val="both"/>
      </w:pPr>
      <w:r w:rsidRPr="00053207">
        <w:t>If unpermitted work is performed, the Town of Fort Myers Beach risks suspension from the NFIP, which could lead to:</w:t>
      </w:r>
    </w:p>
    <w:p w14:paraId="57637344" w14:textId="14BEFF01" w:rsidR="00053207" w:rsidRPr="00053207" w:rsidRDefault="00053207" w:rsidP="00EB1864">
      <w:pPr>
        <w:numPr>
          <w:ilvl w:val="1"/>
          <w:numId w:val="7"/>
        </w:numPr>
        <w:jc w:val="both"/>
      </w:pPr>
      <w:r w:rsidRPr="00053207">
        <w:t xml:space="preserve">Loss of flood insurance discounts for all </w:t>
      </w:r>
      <w:r w:rsidR="00B3133F">
        <w:t>town</w:t>
      </w:r>
      <w:r w:rsidRPr="00053207">
        <w:t xml:space="preserve"> residents.</w:t>
      </w:r>
    </w:p>
    <w:p w14:paraId="51648B39" w14:textId="36DBFA48" w:rsidR="006E7B4B" w:rsidRPr="00053207" w:rsidRDefault="00053207" w:rsidP="00EB1864">
      <w:pPr>
        <w:numPr>
          <w:ilvl w:val="1"/>
          <w:numId w:val="7"/>
        </w:numPr>
        <w:jc w:val="both"/>
      </w:pPr>
      <w:r w:rsidRPr="00053207">
        <w:t>Potential inability for property owners to obtain flood insurance.</w:t>
      </w:r>
    </w:p>
    <w:p w14:paraId="4105776B" w14:textId="66DDB55C" w:rsidR="007E663A" w:rsidRPr="005A4379" w:rsidRDefault="007E663A" w:rsidP="00EB1864">
      <w:pPr>
        <w:jc w:val="both"/>
        <w:rPr>
          <w:b/>
          <w:bCs/>
        </w:rPr>
      </w:pPr>
      <w:r w:rsidRPr="005A4379">
        <w:rPr>
          <w:b/>
          <w:bCs/>
        </w:rPr>
        <w:t>Residential Dwellings</w:t>
      </w:r>
    </w:p>
    <w:p w14:paraId="75ED2D27" w14:textId="05742C65" w:rsidR="00C25D18" w:rsidRPr="001053A2" w:rsidRDefault="003715D9" w:rsidP="00EB1864">
      <w:pPr>
        <w:jc w:val="both"/>
        <w:rPr>
          <w:b/>
          <w:bCs/>
          <w:i/>
          <w:iCs/>
        </w:rPr>
      </w:pPr>
      <w:r w:rsidRPr="001053A2">
        <w:rPr>
          <w:b/>
          <w:bCs/>
          <w:i/>
          <w:iCs/>
        </w:rPr>
        <w:t>First and foremost, d</w:t>
      </w:r>
      <w:r w:rsidR="00C25D18" w:rsidRPr="001053A2">
        <w:rPr>
          <w:b/>
          <w:bCs/>
          <w:i/>
          <w:iCs/>
        </w:rPr>
        <w:t xml:space="preserve">ry floodproofing is not permitted on </w:t>
      </w:r>
      <w:r w:rsidR="00B865F2" w:rsidRPr="001053A2">
        <w:rPr>
          <w:b/>
          <w:bCs/>
          <w:i/>
          <w:iCs/>
        </w:rPr>
        <w:t>residential dwellings</w:t>
      </w:r>
      <w:r w:rsidR="00C25D18" w:rsidRPr="001053A2">
        <w:rPr>
          <w:b/>
          <w:bCs/>
          <w:i/>
          <w:iCs/>
        </w:rPr>
        <w:t xml:space="preserve"> located in V and Coastal A flood zones.</w:t>
      </w:r>
      <w:r w:rsidR="00111C49">
        <w:rPr>
          <w:b/>
          <w:bCs/>
          <w:i/>
          <w:iCs/>
        </w:rPr>
        <w:t xml:space="preserve"> </w:t>
      </w:r>
      <w:r w:rsidR="00F73CD7" w:rsidRPr="00D2580B">
        <w:rPr>
          <w:b/>
          <w:bCs/>
        </w:rPr>
        <w:t>[</w:t>
      </w:r>
      <w:r w:rsidR="00111C49" w:rsidRPr="00D2580B">
        <w:rPr>
          <w:b/>
          <w:bCs/>
        </w:rPr>
        <w:t>FEMA Technical Bulletin 3 (TB-3, 2021)</w:t>
      </w:r>
      <w:r w:rsidR="00F73CD7" w:rsidRPr="00D2580B">
        <w:rPr>
          <w:b/>
          <w:bCs/>
        </w:rPr>
        <w:t>]</w:t>
      </w:r>
    </w:p>
    <w:p w14:paraId="6FFD1139" w14:textId="77777777" w:rsidR="003E4B08" w:rsidRDefault="008F08C1" w:rsidP="00EB1864">
      <w:pPr>
        <w:contextualSpacing/>
        <w:jc w:val="both"/>
      </w:pPr>
      <w:r>
        <w:t xml:space="preserve">Additional </w:t>
      </w:r>
      <w:r w:rsidR="0039438F" w:rsidRPr="0039438F">
        <w:t>Life-Safety and Code Compliance</w:t>
      </w:r>
      <w:r>
        <w:t xml:space="preserve"> Information</w:t>
      </w:r>
    </w:p>
    <w:p w14:paraId="135C460B" w14:textId="0322A065" w:rsidR="00B35C62" w:rsidRDefault="0039438F" w:rsidP="00EB1864">
      <w:pPr>
        <w:contextualSpacing/>
        <w:jc w:val="both"/>
      </w:pPr>
      <w:r w:rsidRPr="0039438F">
        <w:t xml:space="preserve">Under the Florida Building Code – </w:t>
      </w:r>
      <w:r w:rsidR="00D41CF8">
        <w:t>Occupied r</w:t>
      </w:r>
      <w:r w:rsidRPr="0039438F">
        <w:t>esidential</w:t>
      </w:r>
      <w:r w:rsidR="00E3710F">
        <w:t xml:space="preserve"> </w:t>
      </w:r>
      <w:r w:rsidRPr="0039438F">
        <w:t xml:space="preserve">dwellings are required to maintain </w:t>
      </w:r>
      <w:r w:rsidR="00486D65">
        <w:t xml:space="preserve">at least </w:t>
      </w:r>
      <w:r w:rsidRPr="0039438F">
        <w:t>one point of emergency egress. This requirement exists to ensure occupants can exit safely during fires, medical emergencies, or rapidly evolving storm conditions.</w:t>
      </w:r>
    </w:p>
    <w:p w14:paraId="797221C1" w14:textId="77777777" w:rsidR="00B35C62" w:rsidRDefault="00B35C62" w:rsidP="00EB1864">
      <w:pPr>
        <w:contextualSpacing/>
        <w:jc w:val="both"/>
      </w:pPr>
    </w:p>
    <w:p w14:paraId="6ABD717B" w14:textId="5E483669" w:rsidR="0039438F" w:rsidRPr="0039438F" w:rsidRDefault="0039438F" w:rsidP="00EB1864">
      <w:pPr>
        <w:jc w:val="both"/>
      </w:pPr>
      <w:r w:rsidRPr="0039438F">
        <w:lastRenderedPageBreak/>
        <w:t>When flood panels are installed across doors, windows, or other required openings:</w:t>
      </w:r>
    </w:p>
    <w:p w14:paraId="00B77BD1" w14:textId="77777777" w:rsidR="0039438F" w:rsidRPr="0039438F" w:rsidRDefault="0039438F" w:rsidP="00EB1864">
      <w:pPr>
        <w:numPr>
          <w:ilvl w:val="0"/>
          <w:numId w:val="1"/>
        </w:numPr>
        <w:jc w:val="both"/>
      </w:pPr>
      <w:r w:rsidRPr="0039438F">
        <w:t>They block required egress pathways</w:t>
      </w:r>
    </w:p>
    <w:p w14:paraId="1A15A545" w14:textId="77777777" w:rsidR="0039438F" w:rsidRPr="0039438F" w:rsidRDefault="0039438F" w:rsidP="00EB1864">
      <w:pPr>
        <w:numPr>
          <w:ilvl w:val="0"/>
          <w:numId w:val="1"/>
        </w:numPr>
        <w:jc w:val="both"/>
      </w:pPr>
      <w:r w:rsidRPr="0039438F">
        <w:t>They prevent emergency exit</w:t>
      </w:r>
    </w:p>
    <w:p w14:paraId="5750D25A" w14:textId="7CDAF2D7" w:rsidR="002E66CC" w:rsidRDefault="0039438F" w:rsidP="00EB1864">
      <w:pPr>
        <w:numPr>
          <w:ilvl w:val="0"/>
          <w:numId w:val="1"/>
        </w:numPr>
        <w:jc w:val="both"/>
      </w:pPr>
      <w:r w:rsidRPr="0039438F">
        <w:t>They can trap occupants inside a structure</w:t>
      </w:r>
    </w:p>
    <w:p w14:paraId="1F0BCA29" w14:textId="77777777" w:rsidR="002E66CC" w:rsidRDefault="002E66CC" w:rsidP="00EB1864">
      <w:pPr>
        <w:jc w:val="both"/>
      </w:pPr>
      <w:r w:rsidRPr="0039438F">
        <w:t>As a result, a</w:t>
      </w:r>
      <w:r>
        <w:t>n occupied</w:t>
      </w:r>
      <w:r w:rsidRPr="0039438F">
        <w:t xml:space="preserve"> </w:t>
      </w:r>
      <w:r>
        <w:t xml:space="preserve">residential </w:t>
      </w:r>
      <w:r w:rsidRPr="0039438F">
        <w:t xml:space="preserve">building with permanently installed or deployable flood panels that block egress openings becomes non-compliant with the Florida Building Code. Once installed, the </w:t>
      </w:r>
      <w:r>
        <w:t xml:space="preserve">occupied residential </w:t>
      </w:r>
      <w:r w:rsidRPr="0039438F">
        <w:t>structure is legally considered unsafe for occupancy and may be subject to a Notice of Violation.</w:t>
      </w:r>
    </w:p>
    <w:p w14:paraId="39F12CD7" w14:textId="37E8B158" w:rsidR="0039438F" w:rsidRPr="0039438F" w:rsidRDefault="0039438F" w:rsidP="00EB1864">
      <w:pPr>
        <w:jc w:val="both"/>
      </w:pPr>
      <w:r w:rsidRPr="0039438F">
        <w:t xml:space="preserve">This is not a discretionary Town policy — </w:t>
      </w:r>
      <w:r w:rsidR="004563D5">
        <w:t>S</w:t>
      </w:r>
      <w:r w:rsidR="00367EA7" w:rsidRPr="00367EA7">
        <w:t xml:space="preserve">ince the </w:t>
      </w:r>
      <w:r w:rsidR="00C23279">
        <w:t>T</w:t>
      </w:r>
      <w:r w:rsidR="00367EA7" w:rsidRPr="00367EA7">
        <w:t>own adopts the F</w:t>
      </w:r>
      <w:r w:rsidR="00EA54AF">
        <w:t>lorida Building Code, the Town</w:t>
      </w:r>
      <w:r w:rsidR="00367EA7" w:rsidRPr="00367EA7">
        <w:t xml:space="preserve"> must enforce the </w:t>
      </w:r>
      <w:r w:rsidR="00EA54AF">
        <w:t>Florida Building Code</w:t>
      </w:r>
      <w:r w:rsidR="004563D5">
        <w:t xml:space="preserve"> and its life-safety standard.</w:t>
      </w:r>
      <w:r w:rsidR="003B723E">
        <w:t xml:space="preserve"> (</w:t>
      </w:r>
      <w:r w:rsidR="003B723E" w:rsidRPr="003B723E">
        <w:t>FBC §101.2</w:t>
      </w:r>
      <w:r w:rsidR="002725B7">
        <w:t>)</w:t>
      </w:r>
    </w:p>
    <w:p w14:paraId="2AFF0400" w14:textId="77777777" w:rsidR="00634209" w:rsidRPr="00634209" w:rsidRDefault="00634209" w:rsidP="00EB1864">
      <w:pPr>
        <w:jc w:val="both"/>
        <w:rPr>
          <w:b/>
          <w:bCs/>
        </w:rPr>
      </w:pPr>
      <w:r w:rsidRPr="00634209">
        <w:rPr>
          <w:b/>
          <w:bCs/>
        </w:rPr>
        <w:t>Misleading Claims by Floodproofing/Flood Mitigation Companies </w:t>
      </w:r>
    </w:p>
    <w:p w14:paraId="144942E7" w14:textId="77777777" w:rsidR="00634209" w:rsidRPr="00634209" w:rsidRDefault="00634209" w:rsidP="00EB1864">
      <w:pPr>
        <w:jc w:val="both"/>
      </w:pPr>
      <w:r w:rsidRPr="00634209">
        <w:t>Some companies claim that their floodproofing products do not require permits and that they can protect buildings from a 100-year flood (1% annual chance flood event). However:</w:t>
      </w:r>
    </w:p>
    <w:p w14:paraId="385D794B" w14:textId="6B6AC7B6" w:rsidR="005A5EC0" w:rsidRPr="001053A2" w:rsidRDefault="00044016" w:rsidP="00EB1864">
      <w:pPr>
        <w:numPr>
          <w:ilvl w:val="0"/>
          <w:numId w:val="6"/>
        </w:numPr>
        <w:tabs>
          <w:tab w:val="left" w:pos="630"/>
        </w:tabs>
        <w:jc w:val="both"/>
        <w:rPr>
          <w:b/>
          <w:bCs/>
          <w:i/>
          <w:iCs/>
        </w:rPr>
      </w:pPr>
      <w:r w:rsidRPr="00B53210">
        <w:rPr>
          <w:b/>
          <w:bCs/>
        </w:rPr>
        <w:t xml:space="preserve"> </w:t>
      </w:r>
      <w:r w:rsidR="005A5EC0" w:rsidRPr="001053A2">
        <w:rPr>
          <w:b/>
          <w:bCs/>
          <w:i/>
          <w:iCs/>
        </w:rPr>
        <w:t xml:space="preserve">Panels may not be </w:t>
      </w:r>
      <w:r w:rsidR="007A1092" w:rsidRPr="001053A2">
        <w:rPr>
          <w:b/>
          <w:bCs/>
          <w:i/>
          <w:iCs/>
        </w:rPr>
        <w:t>installed o</w:t>
      </w:r>
      <w:r w:rsidR="005A5EC0" w:rsidRPr="001053A2">
        <w:rPr>
          <w:b/>
          <w:bCs/>
          <w:i/>
          <w:iCs/>
        </w:rPr>
        <w:t xml:space="preserve">n residential dwellings </w:t>
      </w:r>
      <w:r w:rsidRPr="001053A2">
        <w:rPr>
          <w:b/>
          <w:bCs/>
          <w:i/>
          <w:iCs/>
        </w:rPr>
        <w:t>located in V and Coastal A zones.</w:t>
      </w:r>
      <w:r w:rsidR="00D2580B" w:rsidRPr="00D2580B">
        <w:rPr>
          <w:b/>
          <w:bCs/>
          <w:i/>
          <w:iCs/>
        </w:rPr>
        <w:t xml:space="preserve"> </w:t>
      </w:r>
      <w:r w:rsidR="00D2580B" w:rsidRPr="00D2580B">
        <w:rPr>
          <w:b/>
          <w:bCs/>
        </w:rPr>
        <w:t>[FEMA Technical Bulletin 3 (TB-3, 2021)]</w:t>
      </w:r>
    </w:p>
    <w:p w14:paraId="599855A8" w14:textId="3F454A10" w:rsidR="00634209" w:rsidRPr="00634209" w:rsidRDefault="00044016" w:rsidP="00EB1864">
      <w:pPr>
        <w:numPr>
          <w:ilvl w:val="0"/>
          <w:numId w:val="6"/>
        </w:numPr>
        <w:tabs>
          <w:tab w:val="left" w:pos="630"/>
        </w:tabs>
        <w:jc w:val="both"/>
      </w:pPr>
      <w:r>
        <w:t xml:space="preserve"> </w:t>
      </w:r>
      <w:r w:rsidR="00634209" w:rsidRPr="00634209">
        <w:t>Most post-FIRM buildings cannot use these products as proposed.</w:t>
      </w:r>
    </w:p>
    <w:p w14:paraId="441B01A5" w14:textId="77777777" w:rsidR="00634209" w:rsidRPr="00634209" w:rsidRDefault="00634209" w:rsidP="00EB1864">
      <w:pPr>
        <w:numPr>
          <w:ilvl w:val="0"/>
          <w:numId w:val="6"/>
        </w:numPr>
        <w:jc w:val="both"/>
      </w:pPr>
      <w:r w:rsidRPr="00634209">
        <w:t>Buildings constructed in compliance with the building codes and Flood Insurance Rate Map (FIRM) requirements at the time of construction cannot be altered in a way that makes them non-compliant with current codes or FIRM regulations. Any modifications must adhere to all applicable floodplain management and building codes.</w:t>
      </w:r>
    </w:p>
    <w:p w14:paraId="5B1AFB32" w14:textId="77777777" w:rsidR="00634209" w:rsidRPr="00634209" w:rsidRDefault="00634209" w:rsidP="00EB1864">
      <w:pPr>
        <w:numPr>
          <w:ilvl w:val="0"/>
          <w:numId w:val="6"/>
        </w:numPr>
        <w:jc w:val="both"/>
      </w:pPr>
      <w:r w:rsidRPr="00634209">
        <w:t>Flood barriers or panels may not block emergency exits or place unsafe loads on structures.</w:t>
      </w:r>
    </w:p>
    <w:p w14:paraId="705B7F3A" w14:textId="3A61D322" w:rsidR="007E084F" w:rsidRDefault="00634209" w:rsidP="00EB1864">
      <w:pPr>
        <w:numPr>
          <w:ilvl w:val="0"/>
          <w:numId w:val="6"/>
        </w:numPr>
        <w:jc w:val="both"/>
      </w:pPr>
      <w:r w:rsidRPr="00634209">
        <w:t>In some cases, limited protection may be possible for specific areas (e.g., elevators or mechanical rooms), but not for the entire lower levels.</w:t>
      </w:r>
    </w:p>
    <w:p w14:paraId="7452058D" w14:textId="089FAA78" w:rsidR="0039438F" w:rsidRPr="005A4379" w:rsidRDefault="0039438F" w:rsidP="00EB1864">
      <w:pPr>
        <w:jc w:val="both"/>
        <w:rPr>
          <w:b/>
          <w:bCs/>
        </w:rPr>
      </w:pPr>
      <w:r w:rsidRPr="005A4379">
        <w:rPr>
          <w:b/>
          <w:bCs/>
        </w:rPr>
        <w:t>Condominiums</w:t>
      </w:r>
    </w:p>
    <w:p w14:paraId="2FF4D5C8" w14:textId="067E917D" w:rsidR="00327CD2" w:rsidRDefault="0039438F" w:rsidP="00EB1864">
      <w:pPr>
        <w:jc w:val="both"/>
      </w:pPr>
      <w:r w:rsidRPr="0039438F">
        <w:t xml:space="preserve">Condominiums are classified as residential structures based on their intended use, even when </w:t>
      </w:r>
      <w:r w:rsidR="00474D7A">
        <w:t>the condominium</w:t>
      </w:r>
      <w:r w:rsidRPr="0039438F">
        <w:t xml:space="preserve"> contain</w:t>
      </w:r>
      <w:r w:rsidR="00474D7A">
        <w:t>s</w:t>
      </w:r>
      <w:r w:rsidRPr="0039438F">
        <w:t xml:space="preserve"> limited </w:t>
      </w:r>
      <w:r w:rsidR="00474D7A">
        <w:t xml:space="preserve">commercial or </w:t>
      </w:r>
      <w:r w:rsidRPr="0039438F">
        <w:t xml:space="preserve">non-residential elements. </w:t>
      </w:r>
      <w:r w:rsidR="00AA2EDC">
        <w:t>[</w:t>
      </w:r>
      <w:r w:rsidR="00327CD2" w:rsidRPr="00177C71">
        <w:t>FBC – Building §302 (Use and Occupancy)</w:t>
      </w:r>
      <w:r w:rsidR="00AA2EDC">
        <w:t>]</w:t>
      </w:r>
    </w:p>
    <w:p w14:paraId="470E3F50" w14:textId="369C945F" w:rsidR="007E084F" w:rsidRDefault="0039438F" w:rsidP="00EB1864">
      <w:pPr>
        <w:jc w:val="both"/>
      </w:pPr>
      <w:r w:rsidRPr="0039438F">
        <w:t xml:space="preserve">Flood panel installations on condominium buildings are therefore governed by the same life-safety and egress standards. </w:t>
      </w:r>
      <w:r w:rsidRPr="0045641D">
        <w:rPr>
          <w:u w:val="single"/>
        </w:rPr>
        <w:t xml:space="preserve">Where a building includes both residential and non-residential components, the Town evaluates those conditions </w:t>
      </w:r>
      <w:r w:rsidR="00FC7E48" w:rsidRPr="0045641D">
        <w:rPr>
          <w:u w:val="single"/>
        </w:rPr>
        <w:t>through individual assessments/reviews</w:t>
      </w:r>
      <w:r w:rsidR="00CD0A24" w:rsidRPr="0045641D">
        <w:rPr>
          <w:u w:val="single"/>
        </w:rPr>
        <w:t xml:space="preserve">, </w:t>
      </w:r>
      <w:r w:rsidRPr="0045641D">
        <w:rPr>
          <w:u w:val="single"/>
        </w:rPr>
        <w:t>but residential life-safety standards always remain controlling.</w:t>
      </w:r>
    </w:p>
    <w:p w14:paraId="29AE418B" w14:textId="353E231F" w:rsidR="001F3FE8" w:rsidRPr="001F3FE8" w:rsidRDefault="00D82486" w:rsidP="00EB1864">
      <w:pPr>
        <w:jc w:val="both"/>
        <w:rPr>
          <w:b/>
          <w:bCs/>
        </w:rPr>
      </w:pPr>
      <w:r>
        <w:rPr>
          <w:b/>
          <w:bCs/>
        </w:rPr>
        <w:lastRenderedPageBreak/>
        <w:t xml:space="preserve">Unoccupied </w:t>
      </w:r>
      <w:r w:rsidR="001F3FE8" w:rsidRPr="001F3FE8">
        <w:rPr>
          <w:b/>
          <w:bCs/>
        </w:rPr>
        <w:t>Non-Residential</w:t>
      </w:r>
    </w:p>
    <w:p w14:paraId="4912C396" w14:textId="22FA71D2" w:rsidR="00744360" w:rsidRDefault="001F3FE8" w:rsidP="00EB1864">
      <w:pPr>
        <w:contextualSpacing/>
        <w:jc w:val="both"/>
      </w:pPr>
      <w:hyperlink r:id="rId7" w:history="1">
        <w:r w:rsidRPr="001F3FE8">
          <w:rPr>
            <w:rStyle w:val="Hyperlink"/>
            <w:color w:val="auto"/>
            <w:u w:val="none"/>
          </w:rPr>
          <w:t>Dry Floodproofing</w:t>
        </w:r>
      </w:hyperlink>
      <w:r w:rsidRPr="001F3FE8">
        <w:t> allowed</w:t>
      </w:r>
      <w:r w:rsidR="00744360">
        <w:t>. [</w:t>
      </w:r>
      <w:r w:rsidR="00744360" w:rsidRPr="00744360">
        <w:t>44 CFR §60.3(c)(3)(ii) and Florida Building Code §1612.5</w:t>
      </w:r>
      <w:r w:rsidR="00744360">
        <w:t>]</w:t>
      </w:r>
    </w:p>
    <w:p w14:paraId="09CEDB8C" w14:textId="510BD055" w:rsidR="00744360" w:rsidRPr="001F3FE8" w:rsidRDefault="00744360" w:rsidP="00EB1864">
      <w:pPr>
        <w:contextualSpacing/>
        <w:jc w:val="both"/>
      </w:pPr>
      <w:r>
        <w:t>The following conditions must be met:</w:t>
      </w:r>
    </w:p>
    <w:p w14:paraId="501B4BE9" w14:textId="77777777" w:rsidR="001F3FE8" w:rsidRDefault="001F3FE8" w:rsidP="00EB1864">
      <w:pPr>
        <w:pStyle w:val="ListParagraph"/>
        <w:numPr>
          <w:ilvl w:val="0"/>
          <w:numId w:val="5"/>
        </w:numPr>
        <w:jc w:val="both"/>
      </w:pPr>
      <w:r w:rsidRPr="001F3FE8">
        <w:t>The building can withstand flood loads while panels are in place.</w:t>
      </w:r>
    </w:p>
    <w:p w14:paraId="0BCD4EEB" w14:textId="5EB83979" w:rsidR="00C70322" w:rsidRPr="001F3FE8" w:rsidRDefault="000669B6" w:rsidP="00EB1864">
      <w:pPr>
        <w:pStyle w:val="ListParagraph"/>
        <w:numPr>
          <w:ilvl w:val="0"/>
          <w:numId w:val="5"/>
        </w:numPr>
        <w:jc w:val="both"/>
      </w:pPr>
      <w:r>
        <w:t>Floodproofing designs are engineered.</w:t>
      </w:r>
    </w:p>
    <w:p w14:paraId="423C16BE" w14:textId="77777777" w:rsidR="001F3FE8" w:rsidRPr="001F3FE8" w:rsidRDefault="001F3FE8" w:rsidP="00EB1864">
      <w:pPr>
        <w:pStyle w:val="ListParagraph"/>
        <w:numPr>
          <w:ilvl w:val="0"/>
          <w:numId w:val="5"/>
        </w:numPr>
        <w:jc w:val="both"/>
      </w:pPr>
      <w:r w:rsidRPr="001F3FE8">
        <w:t>An operational and maintenance plan is documented.</w:t>
      </w:r>
    </w:p>
    <w:p w14:paraId="1965A7CD" w14:textId="5D6DC756" w:rsidR="008D0226" w:rsidRDefault="001F3FE8" w:rsidP="00EB1864">
      <w:pPr>
        <w:contextualSpacing/>
        <w:jc w:val="both"/>
      </w:pPr>
      <w:r w:rsidRPr="001F3FE8">
        <w:t>Compliance must be documented via a </w:t>
      </w:r>
      <w:hyperlink r:id="rId8" w:tgtFrame="_blank" w:tooltip="(opens in a new window)" w:history="1">
        <w:r w:rsidRPr="001F3FE8">
          <w:rPr>
            <w:rStyle w:val="Hyperlink"/>
            <w:color w:val="auto"/>
            <w:u w:val="none"/>
          </w:rPr>
          <w:t>FEMA Dry Floodproofing Certificate</w:t>
        </w:r>
      </w:hyperlink>
      <w:r w:rsidRPr="001F3FE8">
        <w:t> before issuance of a Certificate of Occupancy.</w:t>
      </w:r>
    </w:p>
    <w:p w14:paraId="13952DE0" w14:textId="77777777" w:rsidR="00826B0F" w:rsidRDefault="00826B0F" w:rsidP="00EB1864">
      <w:pPr>
        <w:contextualSpacing/>
        <w:jc w:val="both"/>
      </w:pPr>
    </w:p>
    <w:p w14:paraId="236BE6DF" w14:textId="202A7F62" w:rsidR="00A64002" w:rsidRDefault="0039438F" w:rsidP="00EB1864">
      <w:pPr>
        <w:jc w:val="both"/>
        <w:rPr>
          <w:b/>
          <w:bCs/>
          <w:i/>
          <w:iCs/>
        </w:rPr>
      </w:pPr>
      <w:r w:rsidRPr="0039438F">
        <w:t xml:space="preserve">The Town of Fort Myers Beach is committed to protecting both property and human life. We cannot approve or overlook flood mitigation systems that reduce the ability of residents to escape a building during an emergency </w:t>
      </w:r>
      <w:r w:rsidR="00E56910">
        <w:t xml:space="preserve">- </w:t>
      </w:r>
      <w:r w:rsidRPr="0039438F">
        <w:t>even if those systems are intended to provide flood protection.</w:t>
      </w:r>
      <w:r w:rsidR="000616D3">
        <w:t xml:space="preserve"> And, again, </w:t>
      </w:r>
      <w:r w:rsidR="000616D3" w:rsidRPr="001053A2">
        <w:rPr>
          <w:b/>
          <w:bCs/>
          <w:i/>
          <w:iCs/>
        </w:rPr>
        <w:t>dry floodproofing is not permitted on residential dwellings located in V and Coastal A flood zones.</w:t>
      </w:r>
    </w:p>
    <w:p w14:paraId="43D8AF61" w14:textId="703566F3" w:rsidR="0023724E" w:rsidRPr="0045641D" w:rsidRDefault="0045641D">
      <w:r>
        <w:t xml:space="preserve">For questions regarding floodplain management, please contact Community Development at (239) </w:t>
      </w:r>
      <w:r w:rsidR="00D34976">
        <w:t>765-0202</w:t>
      </w:r>
      <w:r w:rsidR="00121DC3">
        <w:t>.</w:t>
      </w:r>
    </w:p>
    <w:p w14:paraId="7EE6E107" w14:textId="77777777" w:rsidR="00C87523" w:rsidRDefault="00C87523">
      <w:pPr>
        <w:rPr>
          <w:b/>
          <w:bCs/>
        </w:rPr>
      </w:pPr>
    </w:p>
    <w:p w14:paraId="55901D59" w14:textId="163EB65E" w:rsidR="0023724E" w:rsidRDefault="0023724E">
      <w:pPr>
        <w:rPr>
          <w:b/>
          <w:bCs/>
        </w:rPr>
      </w:pPr>
      <w:r w:rsidRPr="00AC5CAE">
        <w:rPr>
          <w:b/>
          <w:bCs/>
        </w:rPr>
        <w:t>Notes</w:t>
      </w:r>
    </w:p>
    <w:p w14:paraId="0F6F744D" w14:textId="77777777" w:rsidR="00177C71" w:rsidRPr="00177C71" w:rsidRDefault="00177C71" w:rsidP="00177C71">
      <w:r w:rsidRPr="00177C71">
        <w:t>Florida Building Code – Occupancy Controls the Building</w:t>
      </w:r>
    </w:p>
    <w:p w14:paraId="41CD6472" w14:textId="77777777" w:rsidR="00177C71" w:rsidRPr="00177C71" w:rsidRDefault="00177C71" w:rsidP="00177C71">
      <w:r w:rsidRPr="00177C71">
        <w:t>FBC – Building §302 (Use and Occupancy)</w:t>
      </w:r>
    </w:p>
    <w:p w14:paraId="7F934546" w14:textId="77777777" w:rsidR="00177C71" w:rsidRPr="00177C71" w:rsidRDefault="00177C71" w:rsidP="00177C71">
      <w:r w:rsidRPr="00177C71">
        <w:t>A building is classified by how it is used, not how it is owned.</w:t>
      </w:r>
    </w:p>
    <w:p w14:paraId="4FD582CB" w14:textId="77777777" w:rsidR="00177C71" w:rsidRPr="00177C71" w:rsidRDefault="00177C71" w:rsidP="00177C71">
      <w:r w:rsidRPr="00177C71">
        <w:t>Group R-2 (Residential) includes:</w:t>
      </w:r>
    </w:p>
    <w:p w14:paraId="4D078308" w14:textId="77777777" w:rsidR="00177C71" w:rsidRPr="00177C71" w:rsidRDefault="00177C71" w:rsidP="00177C71">
      <w:r w:rsidRPr="00177C71">
        <w:t>“Buildings containing sleeping units or more than two dwelling units, including apartments, condominiums, and multifamily dwellings.”</w:t>
      </w:r>
    </w:p>
    <w:p w14:paraId="5CFA2422" w14:textId="77777777" w:rsidR="005A003B" w:rsidRDefault="00177C71" w:rsidP="00177C71">
      <w:r w:rsidRPr="00177C71">
        <w:t>This is the controlling law that makes a condo building residential for:</w:t>
      </w:r>
    </w:p>
    <w:p w14:paraId="3A01F0C7" w14:textId="4ED04DEB" w:rsidR="005A003B" w:rsidRDefault="006E0F57" w:rsidP="005A003B">
      <w:pPr>
        <w:pStyle w:val="ListParagraph"/>
        <w:numPr>
          <w:ilvl w:val="0"/>
          <w:numId w:val="10"/>
        </w:numPr>
      </w:pPr>
      <w:proofErr w:type="gramStart"/>
      <w:r>
        <w:t>e</w:t>
      </w:r>
      <w:r w:rsidR="00177C71" w:rsidRPr="00177C71">
        <w:t>gress</w:t>
      </w:r>
      <w:proofErr w:type="gramEnd"/>
    </w:p>
    <w:p w14:paraId="735082CD" w14:textId="77777777" w:rsidR="005A003B" w:rsidRDefault="00177C71" w:rsidP="005A003B">
      <w:pPr>
        <w:pStyle w:val="ListParagraph"/>
        <w:numPr>
          <w:ilvl w:val="0"/>
          <w:numId w:val="10"/>
        </w:numPr>
      </w:pPr>
      <w:r w:rsidRPr="00177C71">
        <w:t>flood rules</w:t>
      </w:r>
    </w:p>
    <w:p w14:paraId="67BC5CDD" w14:textId="77777777" w:rsidR="005A003B" w:rsidRDefault="00177C71" w:rsidP="005A003B">
      <w:pPr>
        <w:pStyle w:val="ListParagraph"/>
        <w:numPr>
          <w:ilvl w:val="0"/>
          <w:numId w:val="10"/>
        </w:numPr>
      </w:pPr>
      <w:r w:rsidRPr="00177C71">
        <w:t>fire safety</w:t>
      </w:r>
    </w:p>
    <w:p w14:paraId="03FF88A3" w14:textId="77777777" w:rsidR="005A003B" w:rsidRDefault="00177C71" w:rsidP="005A003B">
      <w:pPr>
        <w:pStyle w:val="ListParagraph"/>
        <w:numPr>
          <w:ilvl w:val="0"/>
          <w:numId w:val="10"/>
        </w:numPr>
      </w:pPr>
      <w:r w:rsidRPr="00177C71">
        <w:t>life-safety</w:t>
      </w:r>
    </w:p>
    <w:p w14:paraId="07E4301A" w14:textId="77777777" w:rsidR="0099522A" w:rsidRDefault="00177C71" w:rsidP="0099522A">
      <w:pPr>
        <w:pStyle w:val="ListParagraph"/>
        <w:numPr>
          <w:ilvl w:val="0"/>
          <w:numId w:val="10"/>
        </w:numPr>
      </w:pPr>
      <w:r w:rsidRPr="00177C71">
        <w:lastRenderedPageBreak/>
        <w:t>building envelope</w:t>
      </w:r>
    </w:p>
    <w:p w14:paraId="1CA335C0" w14:textId="69704981" w:rsidR="0099522A" w:rsidRPr="00F91AAA" w:rsidRDefault="0099522A" w:rsidP="0099522A">
      <w:r w:rsidRPr="00F91AAA">
        <w:t xml:space="preserve">The building </w:t>
      </w:r>
      <w:proofErr w:type="gramStart"/>
      <w:r w:rsidRPr="00F91AAA">
        <w:t>envelope</w:t>
      </w:r>
      <w:proofErr w:type="gramEnd"/>
      <w:r w:rsidRPr="00F91AAA">
        <w:t xml:space="preserve"> and exits are common elements serving residential units</w:t>
      </w:r>
      <w:r w:rsidR="00F91AAA" w:rsidRPr="00F91AAA">
        <w:t xml:space="preserve">; therefore, </w:t>
      </w:r>
      <w:r w:rsidRPr="00F91AAA">
        <w:t>residential flood and egress rules apply</w:t>
      </w:r>
      <w:r w:rsidR="00F91AAA" w:rsidRPr="00F91AAA">
        <w:t>.</w:t>
      </w:r>
      <w:r w:rsidR="005215B0">
        <w:t xml:space="preserve"> </w:t>
      </w:r>
      <w:r w:rsidR="005215B0" w:rsidRPr="005215B0">
        <w:rPr>
          <w:u w:val="single"/>
        </w:rPr>
        <w:t>However, where a building includes both residential and non-residential components, the Town evaluates those conditions through individual assessments/reviews, but residential life-safety standards always remain controlling.</w:t>
      </w:r>
    </w:p>
    <w:p w14:paraId="5C8AE1DD" w14:textId="77777777" w:rsidR="00177C71" w:rsidRDefault="00177C71">
      <w:pPr>
        <w:rPr>
          <w:b/>
          <w:bCs/>
        </w:rPr>
      </w:pPr>
    </w:p>
    <w:p w14:paraId="0E30E009" w14:textId="77777777" w:rsidR="00073B99" w:rsidRDefault="00073B99"/>
    <w:sectPr w:rsidR="00073B99" w:rsidSect="00276FD5">
      <w:headerReference w:type="default" r:id="rId9"/>
      <w:pgSz w:w="12240" w:h="15840"/>
      <w:pgMar w:top="126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AD60" w14:textId="77777777" w:rsidR="003C6537" w:rsidRDefault="003C6537" w:rsidP="006A2D5D">
      <w:pPr>
        <w:spacing w:before="0" w:after="0"/>
      </w:pPr>
      <w:r>
        <w:separator/>
      </w:r>
    </w:p>
  </w:endnote>
  <w:endnote w:type="continuationSeparator" w:id="0">
    <w:p w14:paraId="348E1F4D" w14:textId="77777777" w:rsidR="003C6537" w:rsidRDefault="003C6537" w:rsidP="006A2D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584C" w14:textId="77777777" w:rsidR="003C6537" w:rsidRDefault="003C6537" w:rsidP="006A2D5D">
      <w:pPr>
        <w:spacing w:before="0" w:after="0"/>
      </w:pPr>
      <w:r>
        <w:separator/>
      </w:r>
    </w:p>
  </w:footnote>
  <w:footnote w:type="continuationSeparator" w:id="0">
    <w:p w14:paraId="1AFFEE02" w14:textId="77777777" w:rsidR="003C6537" w:rsidRDefault="003C6537" w:rsidP="006A2D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1852" w14:textId="274E06C1" w:rsidR="00F71E31" w:rsidRDefault="00F71E31" w:rsidP="00621F0F">
    <w:pPr>
      <w:pStyle w:val="Header"/>
      <w:spacing w:before="100" w:after="100"/>
      <w:jc w:val="center"/>
    </w:pPr>
    <w:r w:rsidRPr="00F71E31">
      <w:drawing>
        <wp:inline distT="0" distB="0" distL="0" distR="0" wp14:anchorId="28231BBC" wp14:editId="63AF5C47">
          <wp:extent cx="5781675" cy="1190625"/>
          <wp:effectExtent l="0" t="0" r="9525" b="0"/>
          <wp:docPr id="46252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1190625"/>
                  </a:xfrm>
                  <a:prstGeom prst="rect">
                    <a:avLst/>
                  </a:prstGeom>
                  <a:noFill/>
                  <a:ln>
                    <a:noFill/>
                  </a:ln>
                </pic:spPr>
              </pic:pic>
            </a:graphicData>
          </a:graphic>
        </wp:inline>
      </w:drawing>
    </w:r>
    <w:r w:rsidR="00621F0F" w:rsidRPr="00621F0F">
      <w:rPr>
        <w:sz w:val="16"/>
        <w:szCs w:val="16"/>
      </w:rPr>
      <w:t>Dan Allers, Mayor | Scott Safford, Vice Mayor | John R. King, Council Member | Rebecca Link, Council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00A"/>
    <w:multiLevelType w:val="multilevel"/>
    <w:tmpl w:val="245C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F1C39"/>
    <w:multiLevelType w:val="multilevel"/>
    <w:tmpl w:val="E0E8D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9852FE"/>
    <w:multiLevelType w:val="multilevel"/>
    <w:tmpl w:val="40545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F7893"/>
    <w:multiLevelType w:val="multilevel"/>
    <w:tmpl w:val="E6108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67F5F"/>
    <w:multiLevelType w:val="multilevel"/>
    <w:tmpl w:val="6E4E120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F2C86"/>
    <w:multiLevelType w:val="multilevel"/>
    <w:tmpl w:val="BBF05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B5104"/>
    <w:multiLevelType w:val="hybridMultilevel"/>
    <w:tmpl w:val="806075D6"/>
    <w:lvl w:ilvl="0" w:tplc="3ACCF1DE">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F53A94"/>
    <w:multiLevelType w:val="hybridMultilevel"/>
    <w:tmpl w:val="F094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E7623"/>
    <w:multiLevelType w:val="hybridMultilevel"/>
    <w:tmpl w:val="C4B2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87566"/>
    <w:multiLevelType w:val="hybridMultilevel"/>
    <w:tmpl w:val="86DE9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2885289">
    <w:abstractNumId w:val="3"/>
  </w:num>
  <w:num w:numId="2" w16cid:durableId="858740248">
    <w:abstractNumId w:val="1"/>
  </w:num>
  <w:num w:numId="3" w16cid:durableId="1753236406">
    <w:abstractNumId w:val="5"/>
  </w:num>
  <w:num w:numId="4" w16cid:durableId="615723522">
    <w:abstractNumId w:val="2"/>
  </w:num>
  <w:num w:numId="5" w16cid:durableId="2045209859">
    <w:abstractNumId w:val="8"/>
  </w:num>
  <w:num w:numId="6" w16cid:durableId="285432751">
    <w:abstractNumId w:val="4"/>
  </w:num>
  <w:num w:numId="7" w16cid:durableId="1692486940">
    <w:abstractNumId w:val="0"/>
  </w:num>
  <w:num w:numId="8" w16cid:durableId="683476884">
    <w:abstractNumId w:val="9"/>
  </w:num>
  <w:num w:numId="9" w16cid:durableId="1126386760">
    <w:abstractNumId w:val="6"/>
  </w:num>
  <w:num w:numId="10" w16cid:durableId="1729763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8F"/>
    <w:rsid w:val="00020EF5"/>
    <w:rsid w:val="0003057C"/>
    <w:rsid w:val="0003303B"/>
    <w:rsid w:val="0004258F"/>
    <w:rsid w:val="00044016"/>
    <w:rsid w:val="00053207"/>
    <w:rsid w:val="0005672A"/>
    <w:rsid w:val="000616D3"/>
    <w:rsid w:val="000669B6"/>
    <w:rsid w:val="00073B99"/>
    <w:rsid w:val="000C184E"/>
    <w:rsid w:val="000F03F8"/>
    <w:rsid w:val="001040FA"/>
    <w:rsid w:val="001053A2"/>
    <w:rsid w:val="00111C49"/>
    <w:rsid w:val="00121DC3"/>
    <w:rsid w:val="001332F8"/>
    <w:rsid w:val="00177C71"/>
    <w:rsid w:val="00183A70"/>
    <w:rsid w:val="001922D3"/>
    <w:rsid w:val="001D3E47"/>
    <w:rsid w:val="001F3FE8"/>
    <w:rsid w:val="001F6F90"/>
    <w:rsid w:val="002073B5"/>
    <w:rsid w:val="002108B1"/>
    <w:rsid w:val="0023724E"/>
    <w:rsid w:val="002725B7"/>
    <w:rsid w:val="00275CD6"/>
    <w:rsid w:val="00276FD5"/>
    <w:rsid w:val="002A199D"/>
    <w:rsid w:val="002B4827"/>
    <w:rsid w:val="002D750A"/>
    <w:rsid w:val="002E66CC"/>
    <w:rsid w:val="00327CD2"/>
    <w:rsid w:val="00367EA7"/>
    <w:rsid w:val="003715D9"/>
    <w:rsid w:val="00383399"/>
    <w:rsid w:val="00386E25"/>
    <w:rsid w:val="0039438F"/>
    <w:rsid w:val="003B723E"/>
    <w:rsid w:val="003C6537"/>
    <w:rsid w:val="003E4B08"/>
    <w:rsid w:val="00446C9C"/>
    <w:rsid w:val="004563D5"/>
    <w:rsid w:val="0045641D"/>
    <w:rsid w:val="00474D7A"/>
    <w:rsid w:val="00480789"/>
    <w:rsid w:val="00486D65"/>
    <w:rsid w:val="00495AC2"/>
    <w:rsid w:val="004A12A7"/>
    <w:rsid w:val="004F5C66"/>
    <w:rsid w:val="005215B0"/>
    <w:rsid w:val="00586669"/>
    <w:rsid w:val="005A003B"/>
    <w:rsid w:val="005A4379"/>
    <w:rsid w:val="005A5EC0"/>
    <w:rsid w:val="005B6CEF"/>
    <w:rsid w:val="005D42BC"/>
    <w:rsid w:val="005E38C1"/>
    <w:rsid w:val="005F764E"/>
    <w:rsid w:val="00621F0F"/>
    <w:rsid w:val="00634209"/>
    <w:rsid w:val="0065214A"/>
    <w:rsid w:val="00684981"/>
    <w:rsid w:val="006874FC"/>
    <w:rsid w:val="006A2D5D"/>
    <w:rsid w:val="006D31C3"/>
    <w:rsid w:val="006D68C0"/>
    <w:rsid w:val="006E0F57"/>
    <w:rsid w:val="006E7B4B"/>
    <w:rsid w:val="007238BE"/>
    <w:rsid w:val="00744360"/>
    <w:rsid w:val="00757F0C"/>
    <w:rsid w:val="00767A7C"/>
    <w:rsid w:val="00780F39"/>
    <w:rsid w:val="007A1092"/>
    <w:rsid w:val="007A1371"/>
    <w:rsid w:val="007B446C"/>
    <w:rsid w:val="007E084F"/>
    <w:rsid w:val="007E663A"/>
    <w:rsid w:val="00803E5E"/>
    <w:rsid w:val="00826B0F"/>
    <w:rsid w:val="0082754A"/>
    <w:rsid w:val="00834F1F"/>
    <w:rsid w:val="008507E5"/>
    <w:rsid w:val="00877C4F"/>
    <w:rsid w:val="008820A9"/>
    <w:rsid w:val="008C5836"/>
    <w:rsid w:val="008D00C1"/>
    <w:rsid w:val="008D0226"/>
    <w:rsid w:val="008D0F17"/>
    <w:rsid w:val="008F08C1"/>
    <w:rsid w:val="008F2D00"/>
    <w:rsid w:val="008F5539"/>
    <w:rsid w:val="00941E94"/>
    <w:rsid w:val="00992049"/>
    <w:rsid w:val="0099404A"/>
    <w:rsid w:val="0099522A"/>
    <w:rsid w:val="009B179D"/>
    <w:rsid w:val="009D3CC6"/>
    <w:rsid w:val="00A218FF"/>
    <w:rsid w:val="00A40338"/>
    <w:rsid w:val="00A62BF5"/>
    <w:rsid w:val="00A64002"/>
    <w:rsid w:val="00A97DDC"/>
    <w:rsid w:val="00AA2EDC"/>
    <w:rsid w:val="00AC0FD7"/>
    <w:rsid w:val="00AC5CAE"/>
    <w:rsid w:val="00B3133F"/>
    <w:rsid w:val="00B35C62"/>
    <w:rsid w:val="00B53210"/>
    <w:rsid w:val="00B865F2"/>
    <w:rsid w:val="00B9348C"/>
    <w:rsid w:val="00BA1930"/>
    <w:rsid w:val="00BA21FA"/>
    <w:rsid w:val="00BB4FE4"/>
    <w:rsid w:val="00BB6B21"/>
    <w:rsid w:val="00C23279"/>
    <w:rsid w:val="00C25D18"/>
    <w:rsid w:val="00C70322"/>
    <w:rsid w:val="00C7774D"/>
    <w:rsid w:val="00C80CB0"/>
    <w:rsid w:val="00C87523"/>
    <w:rsid w:val="00CC36AC"/>
    <w:rsid w:val="00CD0A24"/>
    <w:rsid w:val="00D131C0"/>
    <w:rsid w:val="00D13877"/>
    <w:rsid w:val="00D2580B"/>
    <w:rsid w:val="00D34976"/>
    <w:rsid w:val="00D41CF8"/>
    <w:rsid w:val="00D432DC"/>
    <w:rsid w:val="00D468E5"/>
    <w:rsid w:val="00D82486"/>
    <w:rsid w:val="00DA55DF"/>
    <w:rsid w:val="00DC391D"/>
    <w:rsid w:val="00DE0A7F"/>
    <w:rsid w:val="00E3710F"/>
    <w:rsid w:val="00E457D9"/>
    <w:rsid w:val="00E56910"/>
    <w:rsid w:val="00EA52F2"/>
    <w:rsid w:val="00EA54AF"/>
    <w:rsid w:val="00EB1864"/>
    <w:rsid w:val="00F71E31"/>
    <w:rsid w:val="00F73CD7"/>
    <w:rsid w:val="00F819BA"/>
    <w:rsid w:val="00F85137"/>
    <w:rsid w:val="00F91AAA"/>
    <w:rsid w:val="00FC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08D6B"/>
  <w15:chartTrackingRefBased/>
  <w15:docId w15:val="{7DF9458E-CE82-43DC-AEC7-4C1B73BF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38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38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38F"/>
    <w:rPr>
      <w:rFonts w:eastAsiaTheme="majorEastAsia" w:cstheme="majorBidi"/>
      <w:color w:val="272727" w:themeColor="text1" w:themeTint="D8"/>
    </w:rPr>
  </w:style>
  <w:style w:type="paragraph" w:styleId="Title">
    <w:name w:val="Title"/>
    <w:basedOn w:val="Normal"/>
    <w:next w:val="Normal"/>
    <w:link w:val="TitleChar"/>
    <w:uiPriority w:val="10"/>
    <w:qFormat/>
    <w:rsid w:val="0039438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3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3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438F"/>
    <w:rPr>
      <w:i/>
      <w:iCs/>
      <w:color w:val="404040" w:themeColor="text1" w:themeTint="BF"/>
    </w:rPr>
  </w:style>
  <w:style w:type="paragraph" w:styleId="ListParagraph">
    <w:name w:val="List Paragraph"/>
    <w:basedOn w:val="Normal"/>
    <w:uiPriority w:val="34"/>
    <w:qFormat/>
    <w:rsid w:val="0039438F"/>
    <w:pPr>
      <w:ind w:left="720"/>
      <w:contextualSpacing/>
    </w:pPr>
  </w:style>
  <w:style w:type="character" w:styleId="IntenseEmphasis">
    <w:name w:val="Intense Emphasis"/>
    <w:basedOn w:val="DefaultParagraphFont"/>
    <w:uiPriority w:val="21"/>
    <w:qFormat/>
    <w:rsid w:val="0039438F"/>
    <w:rPr>
      <w:i/>
      <w:iCs/>
      <w:color w:val="0F4761" w:themeColor="accent1" w:themeShade="BF"/>
    </w:rPr>
  </w:style>
  <w:style w:type="paragraph" w:styleId="IntenseQuote">
    <w:name w:val="Intense Quote"/>
    <w:basedOn w:val="Normal"/>
    <w:next w:val="Normal"/>
    <w:link w:val="IntenseQuoteChar"/>
    <w:uiPriority w:val="30"/>
    <w:qFormat/>
    <w:rsid w:val="00394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38F"/>
    <w:rPr>
      <w:i/>
      <w:iCs/>
      <w:color w:val="0F4761" w:themeColor="accent1" w:themeShade="BF"/>
    </w:rPr>
  </w:style>
  <w:style w:type="character" w:styleId="IntenseReference">
    <w:name w:val="Intense Reference"/>
    <w:basedOn w:val="DefaultParagraphFont"/>
    <w:uiPriority w:val="32"/>
    <w:qFormat/>
    <w:rsid w:val="0039438F"/>
    <w:rPr>
      <w:b/>
      <w:bCs/>
      <w:smallCaps/>
      <w:color w:val="0F4761" w:themeColor="accent1" w:themeShade="BF"/>
      <w:spacing w:val="5"/>
    </w:rPr>
  </w:style>
  <w:style w:type="character" w:styleId="Hyperlink">
    <w:name w:val="Hyperlink"/>
    <w:basedOn w:val="DefaultParagraphFont"/>
    <w:uiPriority w:val="99"/>
    <w:unhideWhenUsed/>
    <w:rsid w:val="001F3FE8"/>
    <w:rPr>
      <w:color w:val="467886" w:themeColor="hyperlink"/>
      <w:u w:val="single"/>
    </w:rPr>
  </w:style>
  <w:style w:type="character" w:styleId="UnresolvedMention">
    <w:name w:val="Unresolved Mention"/>
    <w:basedOn w:val="DefaultParagraphFont"/>
    <w:uiPriority w:val="99"/>
    <w:semiHidden/>
    <w:unhideWhenUsed/>
    <w:rsid w:val="001F3FE8"/>
    <w:rPr>
      <w:color w:val="605E5C"/>
      <w:shd w:val="clear" w:color="auto" w:fill="E1DFDD"/>
    </w:rPr>
  </w:style>
  <w:style w:type="paragraph" w:styleId="Header">
    <w:name w:val="header"/>
    <w:basedOn w:val="Normal"/>
    <w:link w:val="HeaderChar"/>
    <w:uiPriority w:val="99"/>
    <w:unhideWhenUsed/>
    <w:rsid w:val="006A2D5D"/>
    <w:pPr>
      <w:tabs>
        <w:tab w:val="center" w:pos="4680"/>
        <w:tab w:val="right" w:pos="9360"/>
      </w:tabs>
      <w:spacing w:before="0" w:after="0"/>
    </w:pPr>
  </w:style>
  <w:style w:type="character" w:customStyle="1" w:styleId="HeaderChar">
    <w:name w:val="Header Char"/>
    <w:basedOn w:val="DefaultParagraphFont"/>
    <w:link w:val="Header"/>
    <w:uiPriority w:val="99"/>
    <w:rsid w:val="006A2D5D"/>
  </w:style>
  <w:style w:type="paragraph" w:styleId="Footer">
    <w:name w:val="footer"/>
    <w:basedOn w:val="Normal"/>
    <w:link w:val="FooterChar"/>
    <w:uiPriority w:val="99"/>
    <w:unhideWhenUsed/>
    <w:rsid w:val="006A2D5D"/>
    <w:pPr>
      <w:tabs>
        <w:tab w:val="center" w:pos="4680"/>
        <w:tab w:val="right" w:pos="9360"/>
      </w:tabs>
      <w:spacing w:before="0" w:after="0"/>
    </w:pPr>
  </w:style>
  <w:style w:type="character" w:customStyle="1" w:styleId="FooterChar">
    <w:name w:val="Footer Char"/>
    <w:basedOn w:val="DefaultParagraphFont"/>
    <w:link w:val="Footer"/>
    <w:uiPriority w:val="99"/>
    <w:rsid w:val="006A2D5D"/>
  </w:style>
  <w:style w:type="paragraph" w:styleId="NormalWeb">
    <w:name w:val="Normal (Web)"/>
    <w:basedOn w:val="Normal"/>
    <w:uiPriority w:val="99"/>
    <w:semiHidden/>
    <w:unhideWhenUsed/>
    <w:rsid w:val="0099522A"/>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5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sites/default/files/documents/fema_form-ff-206-fy22-153.pdf" TargetMode="External"/><Relationship Id="rId3" Type="http://schemas.openxmlformats.org/officeDocument/2006/relationships/settings" Target="settings.xml"/><Relationship Id="rId7" Type="http://schemas.openxmlformats.org/officeDocument/2006/relationships/hyperlink" Target="https://www.naplesgov.com/building/page/property-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953</Words>
  <Characters>5464</Characters>
  <Application>Microsoft Office Word</Application>
  <DocSecurity>0</DocSecurity>
  <Lines>86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Kohler</dc:creator>
  <cp:keywords/>
  <dc:description/>
  <cp:lastModifiedBy>Abigail Eberhart</cp:lastModifiedBy>
  <cp:revision>3</cp:revision>
  <dcterms:created xsi:type="dcterms:W3CDTF">2026-02-05T18:20:00Z</dcterms:created>
  <dcterms:modified xsi:type="dcterms:W3CDTF">2026-02-05T18:29:00Z</dcterms:modified>
</cp:coreProperties>
</file>